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b w:val="1"/>
          <w:color w:val="0b5394"/>
          <w:rtl w:val="0"/>
        </w:rPr>
        <w:t xml:space="preserve">Essential Question</w:t>
        <w:br w:type="textWrapping"/>
      </w:r>
      <w:r w:rsidDel="00000000" w:rsidR="00000000" w:rsidRPr="00000000">
        <w:rPr>
          <w:i w:val="1"/>
          <w:rtl w:val="0"/>
        </w:rPr>
        <w:t xml:space="preserve">What distinguishes a charitable individual from a philanthropic individual? How does this influence how we aim to live out our lives?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Learning Objectives: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Evaluate what they learned by completing the post-course survey.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Work collectively as a class to create a presentation for the grant giving ceremony.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21st Century Skills Alignment: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Critical Thinking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Communication and Collaboration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ICT Literacy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Flexibility and Adaptability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Post-course survey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Notecards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C3 Framework Alignment: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</w:pPr>
            <w:r w:rsidDel="00000000" w:rsidR="00000000" w:rsidRPr="00000000">
              <w:rPr>
                <w:rtl w:val="0"/>
              </w:rPr>
              <w:t xml:space="preserve">Communicating conclusions and taking informed action (p. 59)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Service Learning Standards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color w:val="0b5394"/>
              </w:rPr>
            </w:pPr>
            <w:r w:rsidDel="00000000" w:rsidR="00000000" w:rsidRPr="00000000">
              <w:rPr>
                <w:color w:val="0b5394"/>
                <w:rtl w:val="0"/>
              </w:rPr>
              <w:t xml:space="preserve">Partnerships: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Youth Voice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Duration and Intensity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Schedule Overview: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8520"/>
        <w:tblGridChange w:id="0">
          <w:tblGrid>
            <w:gridCol w:w="840"/>
            <w:gridCol w:w="8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Expectations / Post-course survey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Presentation Creation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Debrief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Total Time: 42 minutes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Detailed Content: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1. Presentation Expectations / Post-course evaluation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This</w:t>
      </w:r>
      <w:r w:rsidDel="00000000" w:rsidR="00000000" w:rsidRPr="00000000">
        <w:rPr>
          <w:i w:val="1"/>
          <w:rtl w:val="0"/>
        </w:rPr>
        <w:t xml:space="preserve"> class time is to prepare for the grant award ceremony next week. The chosen nonprofit has been invited to the ceremony along with Allowance for Good donors, school administrators, and a few other important people.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Before we divide you into groups, please take the post-course survey. Make sure to provide an email address that will be valid in 3 months, so seniors please do not put your Niles North email.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2. Presentation Creation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Divide class into 3 groups. And assign them one of the following questions: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Group 1: What did you learn from the class? What lessons were your favorite? What was meaningful to you about this experience?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Help them by reminding what some of the lessons were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Group 2: How did the class choose your social issue topic? What kind of research did you conduct? What organizations completed the grant application and came to speak with you?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Group 3: What does the winning organization do? What is the grant money being used for? Why did you choose this organization? What stuck out to you in their application?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Each group should reflect on their questions and craft a 2-4 minute response. Write down these responses on a piece of paper or a notecard.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Discuss who from their group will be the spokesperson. This spokesperson should be someone that can for sure attend the ceremony next week!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3. Debrief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Thank the students for their openness, energy, enthusiasm, passion, etc. Make this thank you personal and make sure to thank the classroom teacher as well.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over the logistics for the Grant Award Ceremony (day, time, location, order of presentations, etc)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Allowance for Good is a U.S. registered 501(c)3 organization. All materials © Allowance for Good, 2016. Use of this material is granted with the express requirement that you acknowledge Allowance for Good in all print and oral materials. </w:t>
    </w:r>
  </w:p>
  <w:p w:rsidR="00000000" w:rsidDel="00000000" w:rsidP="00000000" w:rsidRDefault="00000000" w:rsidRPr="00000000">
    <w:pPr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3476625</wp:posOffset>
          </wp:positionH>
          <wp:positionV relativeFrom="paragraph">
            <wp:posOffset>76200</wp:posOffset>
          </wp:positionV>
          <wp:extent cx="2356213" cy="528638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6213" cy="528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Lesson 15 // Final Ceremony Prep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